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2AD8B40D" w:rsidP="453DA6F7" w:rsidRDefault="2AD8B40D" w14:paraId="6B70B86A" w14:textId="415E1F3D">
      <w:pPr>
        <w:pStyle w:val="Normal"/>
        <w:rPr>
          <w:rFonts w:ascii="HelveticaNeueLT Std" w:hAnsi="HelveticaNeueLT Std" w:eastAsia="HelveticaNeueLT Std" w:cs="HelveticaNeueLT Std"/>
          <w:noProof w:val="0"/>
          <w:sz w:val="44"/>
          <w:szCs w:val="44"/>
          <w:lang w:val="it-IT"/>
        </w:rPr>
      </w:pPr>
      <w:r w:rsidR="2AD8B40D">
        <w:drawing>
          <wp:inline wp14:editId="453DA6F7" wp14:anchorId="31EDF62E">
            <wp:extent cx="5724524" cy="819150"/>
            <wp:effectExtent l="0" t="0" r="0" b="0"/>
            <wp:docPr id="85488762" name="" title=""/>
            <wp:cNvGraphicFramePr>
              <a:graphicFrameLocks noChangeAspect="1"/>
            </wp:cNvGraphicFramePr>
            <a:graphic>
              <a:graphicData uri="http://schemas.openxmlformats.org/drawingml/2006/picture">
                <pic:pic>
                  <pic:nvPicPr>
                    <pic:cNvPr id="0" name=""/>
                    <pic:cNvPicPr/>
                  </pic:nvPicPr>
                  <pic:blipFill>
                    <a:blip r:embed="Ra4d10b4f28db413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819150"/>
                    </a:xfrm>
                    <a:prstGeom prst="rect">
                      <a:avLst/>
                    </a:prstGeom>
                  </pic:spPr>
                </pic:pic>
              </a:graphicData>
            </a:graphic>
          </wp:inline>
        </w:drawing>
      </w:r>
    </w:p>
    <w:p w:rsidR="0F63A4EF" w:rsidP="453DA6F7" w:rsidRDefault="0F63A4EF" w14:paraId="2C6E4490" w14:textId="7E6C7430">
      <w:pPr>
        <w:pStyle w:val="Normal"/>
        <w:jc w:val="center"/>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r w:rsidRPr="453DA6F7" w:rsidR="0F63A4EF">
        <w:rPr>
          <w:rFonts w:ascii="HelveticaNeueLT Std" w:hAnsi="HelveticaNeueLT Std" w:eastAsia="HelveticaNeueLT Std" w:cs="HelveticaNeueLT Std"/>
          <w:b w:val="1"/>
          <w:bCs w:val="1"/>
          <w:i w:val="0"/>
          <w:iCs w:val="0"/>
          <w:caps w:val="0"/>
          <w:smallCaps w:val="0"/>
          <w:noProof w:val="0"/>
          <w:color w:val="000000" w:themeColor="text1" w:themeTint="FF" w:themeShade="FF"/>
          <w:sz w:val="44"/>
          <w:szCs w:val="44"/>
          <w:lang w:val="it-IT"/>
        </w:rPr>
        <w:t>H</w:t>
      </w:r>
      <w:r w:rsidRPr="453DA6F7" w:rsidR="771D02A6">
        <w:rPr>
          <w:rFonts w:ascii="HelveticaNeueLT Std" w:hAnsi="HelveticaNeueLT Std" w:eastAsia="HelveticaNeueLT Std" w:cs="HelveticaNeueLT Std"/>
          <w:b w:val="1"/>
          <w:bCs w:val="1"/>
          <w:i w:val="0"/>
          <w:iCs w:val="0"/>
          <w:caps w:val="0"/>
          <w:smallCaps w:val="0"/>
          <w:noProof w:val="0"/>
          <w:color w:val="000000" w:themeColor="text1" w:themeTint="FF" w:themeShade="FF"/>
          <w:sz w:val="44"/>
          <w:szCs w:val="44"/>
          <w:lang w:val="it-IT"/>
        </w:rPr>
        <w:t>IGHLIGHT DELLA MOSTRA</w:t>
      </w:r>
      <w:r>
        <w:br/>
      </w:r>
      <w:r w:rsidRPr="453DA6F7" w:rsidR="7E79BEDF">
        <w:rPr>
          <w:rFonts w:ascii="HelveticaNeueLT Std" w:hAnsi="HelveticaNeueLT Std" w:eastAsia="HelveticaNeueLT Std" w:cs="HelveticaNeueLT Std"/>
          <w:b w:val="1"/>
          <w:bCs w:val="1"/>
          <w:i w:val="0"/>
          <w:iCs w:val="0"/>
          <w:caps w:val="0"/>
          <w:smallCaps w:val="0"/>
          <w:noProof w:val="0"/>
          <w:color w:val="000000" w:themeColor="text1" w:themeTint="FF" w:themeShade="FF"/>
          <w:sz w:val="28"/>
          <w:szCs w:val="28"/>
          <w:lang w:val="it-IT"/>
        </w:rPr>
        <w:t>Sciamani. Comunicare con l’invisibile</w:t>
      </w:r>
      <w:r>
        <w:br/>
      </w:r>
      <w:r>
        <w:br/>
      </w:r>
      <w:r w:rsidRPr="453DA6F7" w:rsidR="37518BA8">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Palazzo delle Albere, II piano.</w:t>
      </w:r>
      <w:r>
        <w:br/>
      </w:r>
      <w:r w:rsidRPr="453DA6F7" w:rsidR="2969F1DA">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A cura del Mart, Museo di arte moderna e contemporanea di Trento e Rovereto</w:t>
      </w:r>
      <w:r>
        <w:br/>
      </w: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4050"/>
        <w:gridCol w:w="5085"/>
      </w:tblGrid>
      <w:tr w:rsidR="2EF29F82" w:rsidTr="453DA6F7" w14:paraId="330633D2">
        <w:trPr>
          <w:trHeight w:val="4755"/>
        </w:trPr>
        <w:tc>
          <w:tcPr>
            <w:tcW w:w="4050" w:type="dxa"/>
            <w:tcMar/>
          </w:tcPr>
          <w:p w:rsidR="7C1F634A" w:rsidP="453DA6F7" w:rsidRDefault="7C1F634A" w14:paraId="575A9D87" w14:textId="30C503F4">
            <w:pPr>
              <w:pStyle w:val="Normal"/>
              <w:jc w:val="center"/>
              <w:rPr>
                <w:rFonts w:ascii="HelveticaNeueLT Std" w:hAnsi="HelveticaNeueLT Std" w:eastAsia="HelveticaNeueLT Std" w:cs="HelveticaNeueLT Std"/>
              </w:rPr>
            </w:pPr>
            <w:r w:rsidR="1CDF20AA">
              <w:drawing>
                <wp:inline wp14:editId="2E802789" wp14:anchorId="154E3CA7">
                  <wp:extent cx="2351590" cy="2996380"/>
                  <wp:effectExtent l="0" t="0" r="0" b="0"/>
                  <wp:docPr id="402526881" name="" title=""/>
                  <wp:cNvGraphicFramePr>
                    <a:graphicFrameLocks noChangeAspect="1"/>
                  </wp:cNvGraphicFramePr>
                  <a:graphic>
                    <a:graphicData uri="http://schemas.openxmlformats.org/drawingml/2006/picture">
                      <pic:pic>
                        <pic:nvPicPr>
                          <pic:cNvPr id="0" name=""/>
                          <pic:cNvPicPr/>
                        </pic:nvPicPr>
                        <pic:blipFill>
                          <a:blip r:embed="R19e2e4038e754a2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51590" cy="2996380"/>
                          </a:xfrm>
                          <a:prstGeom prst="rect">
                            <a:avLst/>
                          </a:prstGeom>
                        </pic:spPr>
                      </pic:pic>
                    </a:graphicData>
                  </a:graphic>
                </wp:inline>
              </w:drawing>
            </w:r>
          </w:p>
        </w:tc>
        <w:tc>
          <w:tcPr>
            <w:tcW w:w="5085" w:type="dxa"/>
            <w:tcMar/>
          </w:tcPr>
          <w:p w:rsidR="7C1F634A" w:rsidP="453DA6F7" w:rsidRDefault="7C1F634A" w14:paraId="72585D9F" w14:textId="411C9774">
            <w:pPr>
              <w:pStyle w:val="Normal"/>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1CDF20AA">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Jimmie</w:t>
            </w:r>
            <w:r w:rsidRPr="453DA6F7" w:rsidR="1CDF20AA">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 xml:space="preserve"> Durham (1940-2021)</w:t>
            </w:r>
            <w:r>
              <w:br/>
            </w:r>
            <w:r w:rsidRPr="453DA6F7" w:rsidR="078839D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Elephant</w:t>
            </w:r>
            <w:r w:rsidRPr="453DA6F7" w:rsidR="078839D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078839D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skull</w:t>
            </w:r>
            <w:r w:rsidRPr="453DA6F7" w:rsidR="078839D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study #7</w:t>
            </w:r>
            <w:r w:rsidRPr="453DA6F7" w:rsidR="078839D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2005</w:t>
            </w:r>
          </w:p>
          <w:p w:rsidR="133DC911" w:rsidP="453DA6F7" w:rsidRDefault="133DC911" w14:paraId="7605089B" w14:textId="6734F289">
            <w:pPr>
              <w:pStyle w:val="Normal"/>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078839D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Materiali vari</w:t>
            </w:r>
          </w:p>
          <w:p w:rsidR="133DC911" w:rsidP="453DA6F7" w:rsidRDefault="133DC911" w14:paraId="692E851B" w14:textId="3D578E50">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r w:rsidRPr="453DA6F7" w:rsidR="078839D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Collezione Marco Ghigi, Bologna</w:t>
            </w:r>
            <w:r>
              <w:br/>
            </w:r>
          </w:p>
          <w:p w:rsidR="03AE0126" w:rsidP="453DA6F7" w:rsidRDefault="03AE0126" w14:paraId="1A25F719" w14:textId="1E268BAA">
            <w:pPr>
              <w:spacing w:after="0" w:line="240"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07A54271">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Influenzato dalle tradizioni culturali dei nativi Cherokee, il nordamericano </w:t>
            </w:r>
            <w:r w:rsidRPr="453DA6F7" w:rsidR="07A54271">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Jimmie</w:t>
            </w:r>
            <w:r w:rsidRPr="453DA6F7" w:rsidR="07A54271">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Durham utilizza oggetti di recupero per le sue sculture.</w:t>
            </w:r>
            <w:r w:rsidRPr="453DA6F7" w:rsidR="532B9F89">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w:t>
            </w:r>
          </w:p>
          <w:p w:rsidR="03AE0126" w:rsidP="453DA6F7" w:rsidRDefault="03AE0126" w14:paraId="497D7CC9" w14:textId="50BDCA9F">
            <w:pPr>
              <w:spacing w:after="0" w:line="240"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07A54271">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I rifiuti della società consumistica, che rappresentano e sfidano la struttura coloniale occidentale, dialogano con elementi provenienti dal mondo naturale e con oggetti-simbolo delle popolazioni native del nord America. </w:t>
            </w:r>
            <w:r w:rsidRPr="453DA6F7" w:rsidR="5B4E561E">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w:t>
            </w:r>
            <w:r w:rsidRPr="453DA6F7" w:rsidR="07A54271">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Il modo in cui questi materiali sono utilizzati e combinati dall’artista lo avvicina alle pratiche sciamaniche: gli oggetti acquisiscono valore sia per le loro specificità fisiche e funzionali, sia per le loro proprietà iconologiche.</w:t>
            </w:r>
          </w:p>
        </w:tc>
      </w:tr>
    </w:tbl>
    <w:p w:rsidR="453DA6F7" w:rsidP="453DA6F7" w:rsidRDefault="453DA6F7" w14:paraId="165549FD" w14:textId="503405F0">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4035"/>
        <w:gridCol w:w="5092"/>
      </w:tblGrid>
      <w:tr w:rsidR="2EF29F82" w:rsidTr="453DA6F7" w14:paraId="4FE39B33">
        <w:trPr>
          <w:trHeight w:val="300"/>
        </w:trPr>
        <w:tc>
          <w:tcPr>
            <w:tcW w:w="4035" w:type="dxa"/>
            <w:tcMar/>
          </w:tcPr>
          <w:p w:rsidR="2EF29F82" w:rsidP="453DA6F7" w:rsidRDefault="2EF29F82" w14:paraId="726F702F" w14:textId="516F079B">
            <w:pPr>
              <w:pStyle w:val="Normal"/>
              <w:jc w:val="center"/>
              <w:rPr>
                <w:rFonts w:ascii="HelveticaNeueLT Std" w:hAnsi="HelveticaNeueLT Std" w:eastAsia="HelveticaNeueLT Std" w:cs="HelveticaNeueLT Std"/>
              </w:rPr>
            </w:pPr>
            <w:r w:rsidR="5997CCB6">
              <w:drawing>
                <wp:inline wp14:editId="76BA1CE8" wp14:anchorId="70D4D4A1">
                  <wp:extent cx="2269014" cy="2762250"/>
                  <wp:effectExtent l="0" t="0" r="0" b="0"/>
                  <wp:docPr id="1899995334" name="" title=""/>
                  <wp:cNvGraphicFramePr>
                    <a:graphicFrameLocks noChangeAspect="1"/>
                  </wp:cNvGraphicFramePr>
                  <a:graphic>
                    <a:graphicData uri="http://schemas.openxmlformats.org/drawingml/2006/picture">
                      <pic:pic>
                        <pic:nvPicPr>
                          <pic:cNvPr id="0" name=""/>
                          <pic:cNvPicPr/>
                        </pic:nvPicPr>
                        <pic:blipFill>
                          <a:blip r:embed="R25396ca574ea4e0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69014" cy="2762250"/>
                          </a:xfrm>
                          <a:prstGeom prst="rect">
                            <a:avLst/>
                          </a:prstGeom>
                        </pic:spPr>
                      </pic:pic>
                    </a:graphicData>
                  </a:graphic>
                </wp:inline>
              </w:drawing>
            </w:r>
          </w:p>
        </w:tc>
        <w:tc>
          <w:tcPr>
            <w:tcW w:w="5092" w:type="dxa"/>
            <w:tcMar/>
          </w:tcPr>
          <w:p w:rsidR="2EF29F82" w:rsidP="453DA6F7" w:rsidRDefault="2EF29F82" w14:paraId="144B4A1E" w14:textId="4A09E4EA">
            <w:pPr>
              <w:spacing w:before="0" w:beforeAutospacing="off" w:line="259" w:lineRule="auto"/>
              <w:rPr>
                <w:rFonts w:ascii="HelveticaNeueLT Std" w:hAnsi="HelveticaNeueLT Std" w:eastAsia="HelveticaNeueLT Std" w:cs="HelveticaNeueLT Std"/>
                <w:noProof w:val="0"/>
                <w:sz w:val="22"/>
                <w:szCs w:val="22"/>
                <w:lang w:val="it-IT"/>
              </w:rPr>
            </w:pPr>
            <w:r w:rsidRPr="453DA6F7" w:rsidR="5997CCB6">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Si On (1979)</w:t>
            </w:r>
            <w:r>
              <w:br/>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There</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Is</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a Life, </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There</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Is</w:t>
            </w:r>
            <w:r w:rsidRPr="453DA6F7" w:rsidR="5997CCB6">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a Death</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2021</w:t>
            </w:r>
            <w:r>
              <w:br/>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Olio e spray su tela </w:t>
            </w:r>
            <w:r>
              <w:br/>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Collezione De Iorio</w:t>
            </w:r>
          </w:p>
          <w:p w:rsidR="2EF29F82" w:rsidP="453DA6F7" w:rsidRDefault="2EF29F82" w14:paraId="37B889B1" w14:textId="719538FA">
            <w:pPr>
              <w:pStyle w:val="Normal"/>
              <w:spacing w:before="0" w:beforeAutospacing="off"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p>
          <w:p w:rsidR="2EF29F82" w:rsidP="453DA6F7" w:rsidRDefault="2EF29F82" w14:paraId="285D981F" w14:textId="541B8D74">
            <w:pPr>
              <w:spacing w:after="0" w:line="240" w:lineRule="auto"/>
              <w:rPr>
                <w:rFonts w:ascii="HelveticaNeueLT Std" w:hAnsi="HelveticaNeueLT Std" w:eastAsia="HelveticaNeueLT Std" w:cs="HelveticaNeueLT Std"/>
                <w:noProof w:val="0"/>
                <w:sz w:val="22"/>
                <w:szCs w:val="22"/>
                <w:lang w:val="it-IT"/>
              </w:rPr>
            </w:pP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La cultura sciamanica </w:t>
            </w:r>
            <w:r w:rsidRPr="453DA6F7" w:rsidR="7FA58542">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sudcoreana</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ruota attorno alla figura femminile della </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Mudang</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Guida spirituale, guaritrice e medium tra il mondo visibile e il regno degli spiriti, la </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Mudang</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gode di prestigio sociale e rispetto, sovvertendo le dinamiche patriarcali. L’opera di Si On richiama antiche tradizioni e simboli, sottolineando l’intreccio tra la vita e la morte, la natura ciclica dell’esistenza, le connessioni tra passato e futuro e attingendo alle storie degli spiriti guida e alle leggende sulla </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Mudang</w:t>
            </w:r>
            <w:r w:rsidRPr="453DA6F7" w:rsidR="5997CCB6">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w:t>
            </w:r>
          </w:p>
        </w:tc>
      </w:tr>
    </w:tbl>
    <w:tbl>
      <w:tblPr>
        <w:tblStyle w:val="TableGrid"/>
        <w:tblW w:w="9127" w:type="dxa"/>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4290"/>
        <w:gridCol w:w="4837"/>
      </w:tblGrid>
      <w:tr w:rsidR="2EF29F82" w:rsidTr="453DA6F7" w14:paraId="0C0EB49D">
        <w:trPr>
          <w:trHeight w:val="2940"/>
        </w:trPr>
        <w:tc>
          <w:tcPr>
            <w:tcW w:w="4290" w:type="dxa"/>
            <w:tcMar/>
          </w:tcPr>
          <w:p w:rsidR="31C1C034" w:rsidP="453DA6F7" w:rsidRDefault="31C1C034" w14:paraId="2BAC3E7B" w14:textId="5EAC52F1">
            <w:pPr>
              <w:pStyle w:val="Normal"/>
              <w:jc w:val="left"/>
              <w:rPr>
                <w:rFonts w:ascii="HelveticaNeueLT Std" w:hAnsi="HelveticaNeueLT Std" w:eastAsia="HelveticaNeueLT Std" w:cs="HelveticaNeueLT Std"/>
              </w:rPr>
            </w:pPr>
            <w:r w:rsidR="1F82D829">
              <w:drawing>
                <wp:inline wp14:editId="4EC4BBBA" wp14:anchorId="1BBBF21F">
                  <wp:extent cx="2353409" cy="1802667"/>
                  <wp:effectExtent l="0" t="0" r="0" b="0"/>
                  <wp:docPr id="210878400" name="" descr="L:\2023\Sciamani - Palazzo delle Albere\immagini HD\Coelho_stills\11- still - Making of Balkan Baroque in Venice.png" title=""/>
                  <wp:cNvGraphicFramePr>
                    <a:graphicFrameLocks/>
                  </wp:cNvGraphicFramePr>
                  <a:graphic>
                    <a:graphicData uri="http://schemas.openxmlformats.org/drawingml/2006/picture">
                      <pic:pic>
                        <pic:nvPicPr>
                          <pic:cNvPr id="0" name=""/>
                          <pic:cNvPicPr/>
                        </pic:nvPicPr>
                        <pic:blipFill>
                          <a:blip r:embed="Rb6ec2d3eef6543dc">
                            <a:extLst xmlns:a="http://schemas.openxmlformats.org/drawingml/2006/main">
                              <a:ext xmlns:a="http://schemas.openxmlformats.org/drawingml/2006/main" uri="{28A0092B-C50C-407E-A947-70E740481C1C}">
                                <a14:useLocalDpi xmlns:a14="http://schemas.microsoft.com/office/drawing/2010/main" val="0"/>
                              </a:ext>
                            </a:extLst>
                          </a:blip>
                          <a:srcRect l="10040" t="0" r="11244" b="0"/>
                          <a:stretch>
                            <a:fillRect/>
                          </a:stretch>
                        </pic:blipFill>
                        <pic:spPr>
                          <a:xfrm rot="0" flipH="0" flipV="0">
                            <a:off x="0" y="0"/>
                            <a:ext cx="2353409" cy="1802667"/>
                          </a:xfrm>
                          <a:prstGeom prst="rect">
                            <a:avLst/>
                          </a:prstGeom>
                        </pic:spPr>
                      </pic:pic>
                    </a:graphicData>
                  </a:graphic>
                </wp:inline>
              </w:drawing>
            </w:r>
          </w:p>
        </w:tc>
        <w:tc>
          <w:tcPr>
            <w:tcW w:w="4837" w:type="dxa"/>
            <w:tcMar/>
          </w:tcPr>
          <w:p w:rsidR="31C1C034" w:rsidP="453DA6F7" w:rsidRDefault="31C1C034" w14:paraId="24736A6E" w14:textId="15935427">
            <w:pPr>
              <w:spacing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1F82D829">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 xml:space="preserve">Marina </w:t>
            </w:r>
            <w:r w:rsidRPr="453DA6F7" w:rsidR="1F82D829">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Abramović</w:t>
            </w:r>
            <w:r w:rsidRPr="453DA6F7" w:rsidR="1F82D829">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 xml:space="preserve"> (1946)</w:t>
            </w:r>
            <w:r>
              <w:br/>
            </w: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 xml:space="preserve">Making of </w:t>
            </w: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Balkan</w:t>
            </w: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 xml:space="preserve"> </w:t>
            </w: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Baroque</w:t>
            </w: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 xml:space="preserve"> </w:t>
            </w:r>
          </w:p>
          <w:p w:rsidR="31C1C034" w:rsidP="453DA6F7" w:rsidRDefault="31C1C034" w14:paraId="10D2BA7A" w14:textId="0956CE2F">
            <w:pPr>
              <w:spacing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 xml:space="preserve">in </w:t>
            </w:r>
            <w:r w:rsidRPr="453DA6F7" w:rsidR="1F82D829">
              <w:rPr>
                <w:rFonts w:ascii="HelveticaNeueLT Std" w:hAnsi="HelveticaNeueLT Std" w:eastAsia="HelveticaNeueLT Std" w:cs="HelveticaNeueLT Std"/>
                <w:b w:val="0"/>
                <w:bCs w:val="0"/>
                <w:i w:val="1"/>
                <w:iCs w:val="1"/>
                <w:caps w:val="0"/>
                <w:smallCaps w:val="0"/>
                <w:strike w:val="0"/>
                <w:dstrike w:val="0"/>
                <w:noProof w:val="0"/>
                <w:color w:val="000000" w:themeColor="text1" w:themeTint="FF" w:themeShade="FF"/>
                <w:sz w:val="22"/>
                <w:szCs w:val="22"/>
                <w:u w:val="none"/>
                <w:lang w:val="it-IT"/>
              </w:rPr>
              <w:t>Venice</w:t>
            </w:r>
            <w:r w:rsidRPr="453DA6F7" w:rsidR="1F82D829">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w:t>
            </w:r>
            <w:r w:rsidRPr="453DA6F7" w:rsidR="1F82D829">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1997-2020, </w:t>
            </w:r>
            <w:r>
              <w:br/>
            </w:r>
            <w:r w:rsidRPr="453DA6F7" w:rsidR="1F82D829">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Video</w:t>
            </w:r>
            <w:r>
              <w:br/>
            </w:r>
            <w:r w:rsidRPr="453DA6F7" w:rsidR="1F82D829">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Ramon Coelho video </w:t>
            </w:r>
            <w:r w:rsidRPr="453DA6F7" w:rsidR="1F82D829">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artist</w:t>
            </w:r>
          </w:p>
          <w:p w:rsidR="31C1C034" w:rsidP="453DA6F7" w:rsidRDefault="31C1C034" w14:paraId="07B49CF5" w14:textId="2F88BD00">
            <w:pPr>
              <w:pStyle w:val="Normal"/>
              <w:spacing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p>
          <w:p w:rsidR="31C1C034" w:rsidP="453DA6F7" w:rsidRDefault="31C1C034" w14:paraId="1B641F67" w14:textId="04A513C8">
            <w:pPr>
              <w:spacing w:line="259" w:lineRule="auto"/>
              <w:rPr>
                <w:rFonts w:ascii="HelveticaNeueLT Std" w:hAnsi="HelveticaNeueLT Std" w:eastAsia="HelveticaNeueLT Std" w:cs="HelveticaNeueLT Std"/>
                <w:noProof w:val="0"/>
                <w:sz w:val="22"/>
                <w:szCs w:val="22"/>
                <w:lang w:val="it-IT"/>
              </w:rPr>
            </w:pP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La celebre performance con cui l’artista serba Marina </w:t>
            </w: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Abramović</w:t>
            </w: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vince il Leone d’Oro alla Biennale di Venezia (1997) è documentata da una fotografia di Attilio Maranzano e dal video di Ramon Coelho. Nata in seguito alla guerra in Jugoslavia la performance vede impegnata </w:t>
            </w: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Abramović</w:t>
            </w: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per quattro giorni e sei ore nell’atto di lavare con una spazzola un cumulo di grandi ossa animali mentre recita traumi nazionali e personali. Il rituale di purificazione, in cui risuonano echi della cultura sciamanica, denuncia l’impossibilità di cancellare le drammatiche conseguenze della guerra. Il legame con la tradizione della propria terra di origine prende corpo anche nel video proiettato durante l’esecuzione della performance. Qui l’artista, nelle vesti di una scienziata, riporta il racconto di come nei Balcani vengono uccisi i topi, spinti a mangiarsi a vicenda: una narrazione che simboleggia la brutalità dei conflitti generati dall’umanità. Nel contesto della mostra, l’opera può essere letta in controluce rispetto a due delle più classiche manifestazioni della ritualità sciamanica, lo smembramento e il </w:t>
            </w: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disossamento</w:t>
            </w:r>
            <w:r w:rsidRPr="453DA6F7" w:rsidR="72851FBD">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Tali pratiche rituali ancestrali, rintracciabili in pressoché tutte le culture sciamaniche, divengono azione politica e denuncia.</w:t>
            </w:r>
          </w:p>
        </w:tc>
      </w:tr>
    </w:tbl>
    <w:p w:rsidR="2EF29F82" w:rsidP="453DA6F7" w:rsidRDefault="2EF29F82" w14:paraId="368E7853" w14:textId="303459E2">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tbl>
      <w:tblPr>
        <w:tblStyle w:val="TableGrid"/>
        <w:tblW w:w="9127" w:type="dxa"/>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3990"/>
        <w:gridCol w:w="5137"/>
      </w:tblGrid>
      <w:tr w:rsidR="2EF29F82" w:rsidTr="453DA6F7" w14:paraId="6249CC4B">
        <w:trPr>
          <w:trHeight w:val="300"/>
        </w:trPr>
        <w:tc>
          <w:tcPr>
            <w:tcW w:w="3990" w:type="dxa"/>
            <w:tcMar/>
          </w:tcPr>
          <w:p w:rsidR="226F51B0" w:rsidP="453DA6F7" w:rsidRDefault="226F51B0" w14:paraId="1CA5B82A" w14:textId="6E3FAC4B">
            <w:pPr>
              <w:pStyle w:val="Normal"/>
              <w:rPr>
                <w:rFonts w:ascii="HelveticaNeueLT Std" w:hAnsi="HelveticaNeueLT Std" w:eastAsia="HelveticaNeueLT Std" w:cs="HelveticaNeueLT Std"/>
              </w:rPr>
            </w:pPr>
            <w:r w:rsidR="67836D13">
              <w:drawing>
                <wp:inline wp14:editId="4A6E2FA1" wp14:anchorId="2F1E5B37">
                  <wp:extent cx="2353463" cy="1739923"/>
                  <wp:effectExtent l="0" t="0" r="0" b="0"/>
                  <wp:docPr id="212889767" name="" title=""/>
                  <wp:cNvGraphicFramePr>
                    <a:graphicFrameLocks noChangeAspect="1"/>
                  </wp:cNvGraphicFramePr>
                  <a:graphic>
                    <a:graphicData uri="http://schemas.openxmlformats.org/drawingml/2006/picture">
                      <pic:pic>
                        <pic:nvPicPr>
                          <pic:cNvPr id="0" name=""/>
                          <pic:cNvPicPr/>
                        </pic:nvPicPr>
                        <pic:blipFill>
                          <a:blip r:embed="R1a8d8d176b0b4a16">
                            <a:extLst xmlns:a="http://schemas.openxmlformats.org/drawingml/2006/main">
                              <a:ext xmlns:a="http://schemas.openxmlformats.org/drawingml/2006/main" uri="{28A0092B-C50C-407E-A947-70E740481C1C}">
                                <a14:useLocalDpi xmlns:a14="http://schemas.microsoft.com/office/drawing/2010/main" val="0"/>
                              </a:ext>
                            </a:extLst>
                          </a:blip>
                          <a:srcRect l="0" t="21857" r="0" b="5737"/>
                          <a:stretch>
                            <a:fillRect/>
                          </a:stretch>
                        </pic:blipFill>
                        <pic:spPr>
                          <a:xfrm rot="0" flipH="0" flipV="0">
                            <a:off x="0" y="0"/>
                            <a:ext cx="2353463" cy="1739923"/>
                          </a:xfrm>
                          <a:prstGeom prst="rect">
                            <a:avLst/>
                          </a:prstGeom>
                        </pic:spPr>
                      </pic:pic>
                    </a:graphicData>
                  </a:graphic>
                </wp:inline>
              </w:drawing>
            </w:r>
          </w:p>
        </w:tc>
        <w:tc>
          <w:tcPr>
            <w:tcW w:w="5137" w:type="dxa"/>
            <w:tcMar/>
          </w:tcPr>
          <w:p w:rsidR="226F51B0" w:rsidP="453DA6F7" w:rsidRDefault="226F51B0" w14:paraId="5E3EBCED" w14:textId="3C9AC5D7">
            <w:pPr>
              <w:spacing w:before="0" w:beforeAutospacing="off" w:line="259" w:lineRule="auto"/>
              <w:rPr>
                <w:rFonts w:ascii="HelveticaNeueLT Std" w:hAnsi="HelveticaNeueLT Std" w:eastAsia="HelveticaNeueLT Std" w:cs="HelveticaNeueLT Std"/>
                <w:noProof w:val="0"/>
                <w:sz w:val="22"/>
                <w:szCs w:val="22"/>
                <w:lang w:val="it-IT"/>
              </w:rPr>
            </w:pPr>
            <w:r w:rsidRPr="453DA6F7" w:rsidR="67836D13">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 xml:space="preserve">Joseph Beuys (1921-1986) e </w:t>
            </w:r>
          </w:p>
          <w:p w:rsidR="226F51B0" w:rsidP="453DA6F7" w:rsidRDefault="226F51B0" w14:paraId="11E3F2A6" w14:textId="09F23B74">
            <w:pPr>
              <w:spacing w:before="0" w:beforeAutospacing="off" w:line="259" w:lineRule="auto"/>
              <w:rPr>
                <w:rFonts w:ascii="HelveticaNeueLT Std" w:hAnsi="HelveticaNeueLT Std" w:eastAsia="HelveticaNeueLT Std" w:cs="HelveticaNeueLT Std"/>
                <w:noProof w:val="0"/>
                <w:sz w:val="22"/>
                <w:szCs w:val="22"/>
                <w:lang w:val="it-IT"/>
              </w:rPr>
            </w:pPr>
            <w:r w:rsidRPr="453DA6F7" w:rsidR="67836D13">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Buby</w:t>
            </w:r>
            <w:r w:rsidRPr="453DA6F7" w:rsidR="67836D13">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 xml:space="preserve"> Durini (1924-1994)</w:t>
            </w:r>
            <w:r>
              <w:br/>
            </w:r>
            <w:r w:rsidRPr="453DA6F7" w:rsidR="67836D13">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Difesa della natura / Grassello</w:t>
            </w:r>
            <w:r w:rsidRPr="453DA6F7" w:rsidR="67836D13">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1979-1984</w:t>
            </w:r>
            <w:r>
              <w:br/>
            </w:r>
            <w:r w:rsidRPr="453DA6F7" w:rsidR="67836D13">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Fotografia, cataloghi, cassa in legno, sacchi di calce, stampa su tessuto </w:t>
            </w:r>
            <w:r>
              <w:br/>
            </w:r>
            <w:r w:rsidRPr="453DA6F7" w:rsidR="67836D13">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Mart Rovereto</w:t>
            </w:r>
          </w:p>
          <w:p w:rsidR="453DA6F7" w:rsidP="453DA6F7" w:rsidRDefault="453DA6F7" w14:paraId="51715D5B" w14:textId="61DEE983">
            <w:pPr>
              <w:pStyle w:val="Normal"/>
              <w:spacing w:before="0" w:beforeAutospacing="off"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p>
          <w:p w:rsidR="42DF6ACF" w:rsidP="453DA6F7" w:rsidRDefault="42DF6ACF" w14:paraId="3F2515FB" w14:textId="193991CB">
            <w:pPr>
              <w:pStyle w:val="Normal"/>
              <w:spacing w:before="0" w:beforeAutospacing="off" w:line="259" w:lineRule="auto"/>
              <w:rPr>
                <w:rFonts w:ascii="HelveticaNeueLT Std" w:hAnsi="HelveticaNeueLT Std" w:eastAsia="HelveticaNeueLT Std" w:cs="HelveticaNeueLT Std"/>
                <w:noProof w:val="0"/>
                <w:sz w:val="22"/>
                <w:szCs w:val="22"/>
                <w:lang w:val="it-IT"/>
              </w:rPr>
            </w:pPr>
            <w:r w:rsidRPr="453DA6F7" w:rsidR="42DF6AC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Artista sciamano per eccellenza, Joseph Beuys ha inteso l’arte come atto terapeutico per sé e per il mondo, secondo una visione antropologica radicale di un’umanità oltre il capitalismo. </w:t>
            </w:r>
            <w:r w:rsidRPr="453DA6F7" w:rsidR="42DF6AC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Difesa della Natura</w:t>
            </w:r>
            <w:r w:rsidRPr="453DA6F7" w:rsidR="42DF6AC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è un progetto che si sviluppa nella tenuta agricola dell’artista </w:t>
            </w:r>
            <w:r w:rsidRPr="453DA6F7" w:rsidR="42DF6AC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Buby</w:t>
            </w:r>
            <w:r w:rsidRPr="453DA6F7" w:rsidR="42DF6AC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Durini durante il celebre “Viaggio in Italia” di Beuys. </w:t>
            </w:r>
          </w:p>
          <w:p w:rsidR="42DF6ACF" w:rsidP="453DA6F7" w:rsidRDefault="42DF6ACF" w14:paraId="44CF84DB" w14:textId="4B968377">
            <w:pPr>
              <w:pStyle w:val="Normal"/>
              <w:spacing w:before="0" w:beforeAutospacing="off" w:line="259" w:lineRule="auto"/>
              <w:rPr>
                <w:rFonts w:ascii="HelveticaNeueLT Std" w:hAnsi="HelveticaNeueLT Std" w:eastAsia="HelveticaNeueLT Std" w:cs="HelveticaNeueLT Std"/>
                <w:noProof w:val="0"/>
                <w:sz w:val="22"/>
                <w:szCs w:val="22"/>
                <w:lang w:val="it-IT"/>
              </w:rPr>
            </w:pPr>
            <w:r w:rsidRPr="453DA6F7" w:rsidR="42DF6AC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Vera e propria “utopia concreta”</w:t>
            </w:r>
            <w:r w:rsidRPr="453DA6F7" w:rsidR="1AE6A770">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di rigenerazione</w:t>
            </w:r>
          </w:p>
          <w:p w:rsidR="453DA6F7" w:rsidP="453DA6F7" w:rsidRDefault="453DA6F7" w14:paraId="78FBE0F0" w14:textId="1DF35A6D">
            <w:pPr>
              <w:pStyle w:val="Normal"/>
              <w:spacing w:before="0" w:beforeAutospacing="off"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p>
          <w:p w:rsidR="2EF29F82" w:rsidP="453DA6F7" w:rsidRDefault="2EF29F82" w14:paraId="7C3E4E13" w14:textId="36BE4ECC">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tc>
      </w:tr>
      <w:tr w:rsidR="2EF29F82" w:rsidTr="453DA6F7" w14:paraId="6A3BDF0D">
        <w:trPr>
          <w:trHeight w:val="1875"/>
        </w:trPr>
        <w:tc>
          <w:tcPr>
            <w:tcW w:w="9127" w:type="dxa"/>
            <w:gridSpan w:val="2"/>
            <w:tcMar/>
          </w:tcPr>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3855"/>
              <w:gridCol w:w="5055"/>
            </w:tblGrid>
            <w:tr w:rsidR="453DA6F7" w:rsidTr="453DA6F7" w14:paraId="5E323431">
              <w:trPr>
                <w:trHeight w:val="300"/>
              </w:trPr>
              <w:tc>
                <w:tcPr>
                  <w:tcW w:w="3855" w:type="dxa"/>
                  <w:tcMar/>
                </w:tcPr>
                <w:p w:rsidR="453DA6F7" w:rsidP="453DA6F7" w:rsidRDefault="453DA6F7" w14:paraId="4797941A" w14:textId="40AABEB2">
                  <w:pPr>
                    <w:pStyle w:val="Normal"/>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p>
              </w:tc>
              <w:tc>
                <w:tcPr>
                  <w:tcW w:w="5055" w:type="dxa"/>
                  <w:tcMar/>
                </w:tcPr>
                <w:p w:rsidR="75CDE94C" w:rsidP="453DA6F7" w:rsidRDefault="75CDE94C" w14:paraId="143651C9" w14:textId="4D81CDDC">
                  <w:pPr>
                    <w:pStyle w:val="Normal"/>
                    <w:rPr>
                      <w:rFonts w:ascii="HelveticaNeueLT Std" w:hAnsi="HelveticaNeueLT Std" w:eastAsia="HelveticaNeueLT Std" w:cs="HelveticaNeueLT Std"/>
                      <w:noProof w:val="0"/>
                      <w:sz w:val="22"/>
                      <w:szCs w:val="22"/>
                      <w:lang w:val="it-IT"/>
                    </w:rPr>
                  </w:pPr>
                  <w:r w:rsidRPr="453DA6F7" w:rsidR="75CDE94C">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psichica e spirituale, l’opera denuncia l’imminente catastrofe ecologica e invita allo sviluppo di pratiche di agricoltura decentralizzata, collettiva, e sostenibile. La “difesa” a cui allude il titolo del progetto è da intendersi in senso antropologico oltre che ecologico, dunque come una vera e propria difesa dell’umanità e del pianeta.</w:t>
                  </w:r>
                </w:p>
              </w:tc>
            </w:tr>
          </w:tbl>
          <w:p w:rsidR="226F51B0" w:rsidP="453DA6F7" w:rsidRDefault="226F51B0" w14:paraId="6486B7BC" w14:textId="40A0EC60">
            <w:pPr>
              <w:pStyle w:val="Normal"/>
              <w:spacing w:before="0" w:beforeAutospacing="off" w:line="259" w:lineRule="auto"/>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p>
        </w:tc>
      </w:tr>
    </w:tbl>
    <w:p w:rsidR="2EF29F82" w:rsidP="453DA6F7" w:rsidRDefault="2EF29F82" w14:paraId="13452A4B" w14:textId="3257D689">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tbl>
      <w:tblPr>
        <w:tblStyle w:val="TableGrid"/>
        <w:tblW w:w="9136" w:type="dxa"/>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3960"/>
        <w:gridCol w:w="5176"/>
      </w:tblGrid>
      <w:tr w:rsidR="2EF29F82" w:rsidTr="453DA6F7" w14:paraId="5A7422F1">
        <w:trPr>
          <w:trHeight w:val="300"/>
        </w:trPr>
        <w:tc>
          <w:tcPr>
            <w:tcW w:w="3960" w:type="dxa"/>
            <w:tcMar/>
          </w:tcPr>
          <w:p w:rsidR="2DB71870" w:rsidP="453DA6F7" w:rsidRDefault="2DB71870" w14:paraId="5AD0A904" w14:textId="062F6526">
            <w:pPr>
              <w:pStyle w:val="Normal"/>
              <w:rPr>
                <w:rFonts w:ascii="HelveticaNeueLT Std" w:hAnsi="HelveticaNeueLT Std" w:eastAsia="HelveticaNeueLT Std" w:cs="HelveticaNeueLT Std"/>
              </w:rPr>
            </w:pPr>
            <w:r w:rsidR="10CFB045">
              <w:drawing>
                <wp:inline wp14:editId="78D21710" wp14:anchorId="21907A4F">
                  <wp:extent cx="2273732" cy="2211801"/>
                  <wp:effectExtent l="0" t="0" r="0" b="0"/>
                  <wp:docPr id="35649031" name="" title=""/>
                  <wp:cNvGraphicFramePr>
                    <a:graphicFrameLocks noChangeAspect="1"/>
                  </wp:cNvGraphicFramePr>
                  <a:graphic>
                    <a:graphicData uri="http://schemas.openxmlformats.org/drawingml/2006/picture">
                      <pic:pic>
                        <pic:nvPicPr>
                          <pic:cNvPr id="0" name=""/>
                          <pic:cNvPicPr/>
                        </pic:nvPicPr>
                        <pic:blipFill>
                          <a:blip r:embed="R437a3f03debe490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73732" cy="2211801"/>
                          </a:xfrm>
                          <a:prstGeom prst="rect">
                            <a:avLst/>
                          </a:prstGeom>
                        </pic:spPr>
                      </pic:pic>
                    </a:graphicData>
                  </a:graphic>
                </wp:inline>
              </w:drawing>
            </w:r>
          </w:p>
        </w:tc>
        <w:tc>
          <w:tcPr>
            <w:tcW w:w="5176" w:type="dxa"/>
            <w:tcMar/>
          </w:tcPr>
          <w:p w:rsidR="2DB71870" w:rsidP="453DA6F7" w:rsidRDefault="2DB71870" w14:paraId="063CCD10" w14:textId="28C8931A">
            <w:pPr>
              <w:spacing w:line="259" w:lineRule="auto"/>
              <w:jc w:val="left"/>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10CFB045">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Chiara Camoni (1974)</w:t>
            </w:r>
            <w:r>
              <w:br/>
            </w:r>
            <w:r w:rsidRPr="453DA6F7" w:rsidR="10CFB045">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Senza titolo (Falena Fischietti)</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2023</w:t>
            </w:r>
            <w:r>
              <w:br/>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Terracotta nera etrusca </w:t>
            </w:r>
            <w:r>
              <w:br/>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Courtesy</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l’artista e </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SpazioA</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Pistoia</w:t>
            </w:r>
          </w:p>
          <w:p w:rsidR="2DB71870" w:rsidP="453DA6F7" w:rsidRDefault="2DB71870" w14:paraId="7EF017CA" w14:textId="1C620A45">
            <w:pPr>
              <w:spacing w:line="259" w:lineRule="auto"/>
              <w:jc w:val="left"/>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10CFB045">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Grande Sorella</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2023</w:t>
            </w:r>
            <w:r>
              <w:br/>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Courtesy</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l’artista e </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SpazioA</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Pistoia</w:t>
            </w:r>
            <w:r>
              <w:br/>
            </w:r>
          </w:p>
          <w:p w:rsidR="2DB71870" w:rsidP="453DA6F7" w:rsidRDefault="2DB71870" w14:paraId="3B303079" w14:textId="6C052982">
            <w:pPr>
              <w:spacing w:before="0" w:beforeAutospacing="off" w:after="0" w:afterAutospacing="off" w:line="240" w:lineRule="auto"/>
              <w:jc w:val="left"/>
              <w:rPr>
                <w:rFonts w:ascii="HelveticaNeueLT Std" w:hAnsi="HelveticaNeueLT Std" w:eastAsia="HelveticaNeueLT Std" w:cs="HelveticaNeueLT Std"/>
                <w:noProof w:val="0"/>
                <w:sz w:val="22"/>
                <w:szCs w:val="22"/>
                <w:lang w:val="it-IT"/>
              </w:rPr>
            </w:pP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Il mondo sciamanico viene esplorato da Chiara Camoni attraverso la creazione di oggetti in terracotta o elementi organici che ricalcano gli strumenti utilizzati nei rituali primitivi. La raccolta stessa, l’assemblaggio di materiali e forme tipiche della ritualità sciamanica e le </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perfermonce</w:t>
            </w:r>
            <w:r w:rsidRPr="453DA6F7" w:rsidR="10CFB045">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che l’artista pratica hanno a che fare con una personale ricerca mistica e spirituale.</w:t>
            </w:r>
          </w:p>
        </w:tc>
      </w:tr>
    </w:tbl>
    <w:p w:rsidR="2EF29F82" w:rsidP="453DA6F7" w:rsidRDefault="2EF29F82" w14:paraId="234CD8F1" w14:textId="01493DE0">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p w:rsidR="453DA6F7" w:rsidP="453DA6F7" w:rsidRDefault="453DA6F7" w14:paraId="0E2108F6" w14:textId="0E6E980B">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tbl>
      <w:tblPr>
        <w:tblStyle w:val="TableGrid"/>
        <w:tblW w:w="9135" w:type="dxa"/>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3960"/>
        <w:gridCol w:w="5175"/>
      </w:tblGrid>
      <w:tr w:rsidR="2EF29F82" w:rsidTr="453DA6F7" w14:paraId="1AEB0119">
        <w:trPr>
          <w:trHeight w:val="300"/>
        </w:trPr>
        <w:tc>
          <w:tcPr>
            <w:tcW w:w="3960" w:type="dxa"/>
            <w:tcMar/>
          </w:tcPr>
          <w:p w:rsidR="4BAE703A" w:rsidP="453DA6F7" w:rsidRDefault="4BAE703A" w14:paraId="7D7B73BE" w14:textId="26F38EDB">
            <w:pPr>
              <w:pStyle w:val="Normal"/>
              <w:rPr>
                <w:rFonts w:ascii="HelveticaNeueLT Std" w:hAnsi="HelveticaNeueLT Std" w:eastAsia="HelveticaNeueLT Std" w:cs="HelveticaNeueLT Std"/>
              </w:rPr>
            </w:pPr>
            <w:r w:rsidR="7730174F">
              <w:drawing>
                <wp:inline wp14:editId="3780B52E" wp14:anchorId="7EAE9C9C">
                  <wp:extent cx="2269620" cy="2937694"/>
                  <wp:effectExtent l="0" t="0" r="0" b="0"/>
                  <wp:docPr id="1359705430" name="" title=""/>
                  <wp:cNvGraphicFramePr>
                    <a:graphicFrameLocks noChangeAspect="1"/>
                  </wp:cNvGraphicFramePr>
                  <a:graphic>
                    <a:graphicData uri="http://schemas.openxmlformats.org/drawingml/2006/picture">
                      <pic:pic>
                        <pic:nvPicPr>
                          <pic:cNvPr id="0" name=""/>
                          <pic:cNvPicPr/>
                        </pic:nvPicPr>
                        <pic:blipFill>
                          <a:blip r:embed="Ra7d2f96fe5e646f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69620" cy="2937694"/>
                          </a:xfrm>
                          <a:prstGeom prst="rect">
                            <a:avLst/>
                          </a:prstGeom>
                        </pic:spPr>
                      </pic:pic>
                    </a:graphicData>
                  </a:graphic>
                </wp:inline>
              </w:drawing>
            </w:r>
            <w:r>
              <w:br/>
            </w:r>
          </w:p>
        </w:tc>
        <w:tc>
          <w:tcPr>
            <w:tcW w:w="5175" w:type="dxa"/>
            <w:tcMar/>
          </w:tcPr>
          <w:p w:rsidR="4BAE703A" w:rsidP="453DA6F7" w:rsidRDefault="4BAE703A" w14:paraId="781CF970" w14:textId="0CBC5878">
            <w:pPr>
              <w:spacing w:after="160" w:line="259" w:lineRule="auto"/>
              <w:rPr>
                <w:rFonts w:ascii="HelveticaNeueLT Std" w:hAnsi="HelveticaNeueLT Std" w:eastAsia="HelveticaNeueLT Std" w:cs="HelveticaNeueLT Std"/>
                <w:noProof w:val="0"/>
                <w:sz w:val="22"/>
                <w:szCs w:val="22"/>
                <w:lang w:val="it-IT"/>
              </w:rPr>
            </w:pPr>
            <w:r w:rsidRPr="453DA6F7" w:rsidR="7730174F">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t>Daniel Spoerri (1930)</w:t>
            </w:r>
            <w:r>
              <w:br/>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Figure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humaine</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comparée</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avec</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celle de la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chévre</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et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brebis</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(dalla serie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Carnaval</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des</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Animaux</w:t>
            </w:r>
            <w:r w:rsidRPr="453DA6F7" w:rsidR="7730174F">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w:t>
            </w:r>
            <w:r w:rsidRPr="453DA6F7" w:rsidR="7730174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,1995, </w:t>
            </w:r>
            <w:r>
              <w:br/>
            </w:r>
            <w:r w:rsidRPr="453DA6F7" w:rsidR="7730174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Assemblaggio, materiali vari su stampa </w:t>
            </w:r>
            <w:r w:rsidRPr="453DA6F7" w:rsidR="7730174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scanachrome</w:t>
            </w:r>
            <w:r>
              <w:br/>
            </w:r>
            <w:r w:rsidRPr="453DA6F7" w:rsidR="7730174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Collezione del Centro Pecci, Prato. Donazione dell’artista</w:t>
            </w:r>
          </w:p>
          <w:p w:rsidR="2EF29F82" w:rsidP="453DA6F7" w:rsidRDefault="2EF29F82" w14:paraId="0026CC60" w14:textId="45E78881">
            <w:pPr>
              <w:pStyle w:val="Normal"/>
              <w:spacing w:after="0" w:line="240" w:lineRule="auto"/>
              <w:jc w:val="left"/>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7EA4515C">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Tra i principali protagonisti della scena artistica internazionale dagli anni ‘60, Daniel Spoerri ha indagato il mistero dell’esistenza umana anche attraverso la perlustrazione dell’arcano rapporto con gli oggetti. Nella serie </w:t>
            </w:r>
            <w:r w:rsidRPr="453DA6F7" w:rsidR="7EA4515C">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Carnaval</w:t>
            </w:r>
            <w:r w:rsidRPr="453DA6F7" w:rsidR="7EA4515C">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7EA4515C">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des</w:t>
            </w:r>
            <w:r w:rsidRPr="453DA6F7" w:rsidR="7EA4515C">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 xml:space="preserve"> </w:t>
            </w:r>
            <w:r w:rsidRPr="453DA6F7" w:rsidR="7EA4515C">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Animaux</w:t>
            </w:r>
            <w:r w:rsidRPr="453DA6F7" w:rsidR="7EA4515C">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l’artista confronta l’umano e l’animale. L’opera in mostra, tratta da quella serie, richiama i disegni e gli studi fisionomici di Charles Le Brun – primo pittore di corte di Luigi XIV che nel 1671 tenne a Parigi due conferenze sulle “similitudini fra la fisionomia umana e quella animale” – e l’immaginario dei riti sciamanici. Un teschio decorativo tibetano,</w:t>
            </w:r>
            <w:r w:rsidRPr="453DA6F7" w:rsidR="2EC7080F">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delle corna di ungulati</w:t>
            </w:r>
          </w:p>
          <w:p w:rsidR="2EF29F82" w:rsidP="453DA6F7" w:rsidRDefault="2EF29F82" w14:paraId="0C379A60" w14:textId="3EF770BD">
            <w:pPr>
              <w:pStyle w:val="Normal"/>
              <w:rPr>
                <w:rFonts w:ascii="HelveticaNeueLT Std" w:hAnsi="HelveticaNeueLT Std" w:eastAsia="HelveticaNeueLT Std" w:cs="HelveticaNeueLT Std"/>
                <w:b w:val="1"/>
                <w:bCs w:val="1"/>
                <w:i w:val="0"/>
                <w:iCs w:val="0"/>
                <w:caps w:val="0"/>
                <w:smallCaps w:val="0"/>
                <w:noProof w:val="0"/>
                <w:color w:val="000000" w:themeColor="text1" w:themeTint="FF" w:themeShade="FF"/>
                <w:sz w:val="22"/>
                <w:szCs w:val="22"/>
                <w:lang w:val="it-IT"/>
              </w:rPr>
            </w:pPr>
          </w:p>
        </w:tc>
      </w:tr>
    </w:tbl>
    <w:p w:rsidR="453DA6F7" w:rsidP="453DA6F7" w:rsidRDefault="453DA6F7" w14:paraId="671A14EE" w14:textId="6AC0818C">
      <w:pPr>
        <w:pStyle w:val="Normal"/>
        <w:rPr>
          <w:rFonts w:ascii="HelveticaNeueLT Std" w:hAnsi="HelveticaNeueLT Std" w:eastAsia="HelveticaNeueLT Std" w:cs="HelveticaNeueLT Std"/>
        </w:rPr>
      </w:pPr>
    </w:p>
    <w:p w:rsidR="453DA6F7" w:rsidP="453DA6F7" w:rsidRDefault="453DA6F7" w14:paraId="527A21A6" w14:textId="51D26D8F">
      <w:pPr>
        <w:pStyle w:val="Normal"/>
        <w:rPr>
          <w:rFonts w:ascii="HelveticaNeueLT Std" w:hAnsi="HelveticaNeueLT Std" w:eastAsia="HelveticaNeueLT Std" w:cs="HelveticaNeueLT Std"/>
        </w:rPr>
      </w:pPr>
    </w:p>
    <w:tbl>
      <w:tblPr>
        <w:tblStyle w:val="TableGrid"/>
        <w:tblW w:w="0" w:type="auto"/>
        <w:tblBorders>
          <w:top w:val="none" w:color="000000" w:themeColor="text1" w:sz="4"/>
          <w:left w:val="none" w:color="000000" w:themeColor="text1" w:sz="4"/>
          <w:bottom w:val="none" w:color="000000" w:themeColor="text1" w:sz="4"/>
          <w:right w:val="none" w:color="000000" w:themeColor="text1" w:sz="4"/>
          <w:insideH w:val="none" w:color="000000" w:themeColor="text1" w:sz="4"/>
          <w:insideV w:val="none" w:color="000000" w:themeColor="text1" w:sz="4"/>
        </w:tblBorders>
        <w:tblLayout w:type="fixed"/>
        <w:tblLook w:val="06A0" w:firstRow="1" w:lastRow="0" w:firstColumn="1" w:lastColumn="0" w:noHBand="1" w:noVBand="1"/>
      </w:tblPr>
      <w:tblGrid>
        <w:gridCol w:w="3900"/>
        <w:gridCol w:w="5220"/>
      </w:tblGrid>
      <w:tr w:rsidR="453DA6F7" w:rsidTr="453DA6F7" w14:paraId="6E850852">
        <w:trPr>
          <w:trHeight w:val="3030"/>
        </w:trPr>
        <w:tc>
          <w:tcPr>
            <w:tcW w:w="3900" w:type="dxa"/>
            <w:tcMar/>
          </w:tcPr>
          <w:p w:rsidR="453DA6F7" w:rsidP="453DA6F7" w:rsidRDefault="453DA6F7" w14:paraId="5867562E" w14:textId="25CAF227">
            <w:pPr>
              <w:pStyle w:val="Normal"/>
              <w:rPr>
                <w:rFonts w:ascii="HelveticaNeueLT Std" w:hAnsi="HelveticaNeueLT Std" w:eastAsia="HelveticaNeueLT Std" w:cs="HelveticaNeueLT Std"/>
              </w:rPr>
            </w:pPr>
          </w:p>
        </w:tc>
        <w:tc>
          <w:tcPr>
            <w:tcW w:w="5220" w:type="dxa"/>
            <w:tcMar/>
          </w:tcPr>
          <w:p w:rsidR="7EA4515C" w:rsidP="453DA6F7" w:rsidRDefault="7EA4515C" w14:paraId="66623D86" w14:textId="69D22402">
            <w:pPr>
              <w:pStyle w:val="Normal"/>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pPr>
            <w:r w:rsidRPr="453DA6F7" w:rsidR="7EA4515C">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e una maschera rituale polinesiana – liberamente associati ai disegni – sono i </w:t>
            </w:r>
            <w:r w:rsidRPr="453DA6F7" w:rsidR="7EA4515C">
              <w:rPr>
                <w:rFonts w:ascii="HelveticaNeueLT Std" w:hAnsi="HelveticaNeueLT Std" w:eastAsia="HelveticaNeueLT Std" w:cs="HelveticaNeueLT Std"/>
                <w:b w:val="0"/>
                <w:bCs w:val="0"/>
                <w:i w:val="1"/>
                <w:iCs w:val="1"/>
                <w:caps w:val="0"/>
                <w:smallCaps w:val="0"/>
                <w:noProof w:val="0"/>
                <w:color w:val="000000" w:themeColor="text1" w:themeTint="FF" w:themeShade="FF"/>
                <w:sz w:val="22"/>
                <w:szCs w:val="22"/>
                <w:lang w:val="it-IT"/>
              </w:rPr>
              <w:t>paraphernalia</w:t>
            </w:r>
            <w:r w:rsidRPr="453DA6F7" w:rsidR="7EA4515C">
              <w:rPr>
                <w:rFonts w:ascii="HelveticaNeueLT Std" w:hAnsi="HelveticaNeueLT Std" w:eastAsia="HelveticaNeueLT Std" w:cs="HelveticaNeueLT Std"/>
                <w:b w:val="0"/>
                <w:bCs w:val="0"/>
                <w:i w:val="0"/>
                <w:iCs w:val="0"/>
                <w:caps w:val="0"/>
                <w:smallCaps w:val="0"/>
                <w:noProof w:val="0"/>
                <w:color w:val="000000" w:themeColor="text1" w:themeTint="FF" w:themeShade="FF"/>
                <w:sz w:val="22"/>
                <w:szCs w:val="22"/>
                <w:lang w:val="it-IT"/>
              </w:rPr>
              <w:t xml:space="preserve"> sciamanici scelti per mettere in risalto la similitudine tra il genoma umano e quello animale: “sappiamo ormai con certezza che il codice genetico è universale, vale a dire comune a tutti gli organismi siano essi batteri, piante, animali o esseri umani. Il che significa, in parole povere, che tutti gli organismi viventi, uomo incluso, hanno avuto origine dalle stesse cellule” (Spoerri).</w:t>
            </w:r>
          </w:p>
        </w:tc>
      </w:tr>
    </w:tbl>
    <w:p w:rsidR="2EF29F82" w:rsidP="453DA6F7" w:rsidRDefault="2EF29F82" w14:paraId="5417C2E7" w14:textId="47DEDC36">
      <w:pPr>
        <w:pStyle w:val="Normal"/>
        <w:rPr>
          <w:rFonts w:ascii="HelveticaNeueLT Std" w:hAnsi="HelveticaNeueLT Std" w:eastAsia="HelveticaNeueLT Std" w:cs="HelveticaNeueLT Std"/>
        </w:rPr>
      </w:pPr>
    </w:p>
    <w:p w:rsidR="453DA6F7" w:rsidP="453DA6F7" w:rsidRDefault="453DA6F7" w14:paraId="68552B04" w14:textId="5CEC522F">
      <w:pPr>
        <w:pStyle w:val="Normal"/>
        <w:rPr>
          <w:rFonts w:ascii="HelveticaNeueLT Std" w:hAnsi="HelveticaNeueLT Std" w:eastAsia="HelveticaNeueLT Std" w:cs="HelveticaNeueLT Std"/>
        </w:rPr>
      </w:pPr>
    </w:p>
    <w:p w:rsidR="453DA6F7" w:rsidP="453DA6F7" w:rsidRDefault="453DA6F7" w14:paraId="5843E96E" w14:textId="5ABB8726">
      <w:pPr>
        <w:pStyle w:val="Normal"/>
        <w:rPr>
          <w:rFonts w:ascii="HelveticaNeueLT Std" w:hAnsi="HelveticaNeueLT Std" w:eastAsia="HelveticaNeueLT Std" w:cs="HelveticaNeueLT Std"/>
        </w:rPr>
      </w:pPr>
    </w:p>
    <w:p w:rsidR="453DA6F7" w:rsidP="453DA6F7" w:rsidRDefault="453DA6F7" w14:paraId="4C94CBE8" w14:textId="2E88BC08">
      <w:pPr>
        <w:pStyle w:val="Normal"/>
        <w:rPr>
          <w:rFonts w:ascii="HelveticaNeueLT Std" w:hAnsi="HelveticaNeueLT Std" w:eastAsia="HelveticaNeueLT Std" w:cs="HelveticaNeueLT Std"/>
        </w:rPr>
      </w:pPr>
    </w:p>
    <w:p w:rsidR="453DA6F7" w:rsidP="453DA6F7" w:rsidRDefault="453DA6F7" w14:paraId="4A11E632" w14:textId="0743F77C">
      <w:pPr>
        <w:pStyle w:val="Normal"/>
        <w:rPr>
          <w:rFonts w:ascii="HelveticaNeueLT Std" w:hAnsi="HelveticaNeueLT Std" w:eastAsia="HelveticaNeueLT Std" w:cs="HelveticaNeueLT Std"/>
        </w:rPr>
      </w:pPr>
    </w:p>
    <w:p w:rsidR="453DA6F7" w:rsidP="453DA6F7" w:rsidRDefault="453DA6F7" w14:paraId="1D479E19" w14:textId="6C3490E0">
      <w:pPr>
        <w:pStyle w:val="Normal"/>
        <w:rPr>
          <w:rFonts w:ascii="HelveticaNeueLT Std" w:hAnsi="HelveticaNeueLT Std" w:eastAsia="HelveticaNeueLT Std" w:cs="HelveticaNeueLT Std"/>
        </w:rPr>
      </w:pPr>
    </w:p>
    <w:p w:rsidR="453DA6F7" w:rsidP="453DA6F7" w:rsidRDefault="453DA6F7" w14:paraId="7D21AEB7" w14:textId="362A3C31">
      <w:pPr>
        <w:pStyle w:val="Normal"/>
        <w:rPr>
          <w:rFonts w:ascii="HelveticaNeueLT Std" w:hAnsi="HelveticaNeueLT Std" w:eastAsia="HelveticaNeueLT Std" w:cs="HelveticaNeueLT Std"/>
        </w:rPr>
      </w:pPr>
    </w:p>
    <w:p w:rsidR="2EF29F82" w:rsidP="453DA6F7" w:rsidRDefault="2EF29F82" w14:paraId="2E71D7AF" w14:textId="45AAA8E3">
      <w:pPr>
        <w:pStyle w:val="Normal"/>
        <w:jc w:val="left"/>
        <w:rPr>
          <w:rFonts w:ascii="HelveticaNeueLT Std" w:hAnsi="HelveticaNeueLT Std" w:eastAsia="HelveticaNeueLT Std" w:cs="HelveticaNeueLT Std"/>
        </w:rPr>
      </w:pPr>
      <w:r w:rsidR="49EB3569">
        <w:drawing>
          <wp:inline wp14:editId="0DAE62AB" wp14:anchorId="69E308B3">
            <wp:extent cx="5767574" cy="1511671"/>
            <wp:effectExtent l="0" t="0" r="0" b="0"/>
            <wp:docPr id="2063069485" name="" title=""/>
            <wp:cNvGraphicFramePr>
              <a:graphicFrameLocks noChangeAspect="1"/>
            </wp:cNvGraphicFramePr>
            <a:graphic>
              <a:graphicData uri="http://schemas.openxmlformats.org/drawingml/2006/picture">
                <pic:pic>
                  <pic:nvPicPr>
                    <pic:cNvPr id="0" name=""/>
                    <pic:cNvPicPr/>
                  </pic:nvPicPr>
                  <pic:blipFill>
                    <a:blip r:embed="Rb6976ed3c814488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67574" cy="1511671"/>
                    </a:xfrm>
                    <a:prstGeom prst="rect">
                      <a:avLst/>
                    </a:prstGeom>
                  </pic:spPr>
                </pic:pic>
              </a:graphicData>
            </a:graphic>
          </wp:inline>
        </w:drawing>
      </w:r>
    </w:p>
    <w:sectPr>
      <w:pgSz w:w="11906" w:h="16838" w:orient="portrait"/>
      <w:pgMar w:top="1440" w:right="1440" w:bottom="1440" w:left="1440" w:header="720" w:footer="720" w:gutter="0"/>
      <w:cols w:space="720"/>
      <w:docGrid w:linePitch="360"/>
      <w:headerReference w:type="default" r:id="R777c8ae5103746e5"/>
      <w:footerReference w:type="default" r:id="R605c91965f4c46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53DA6F7" w:rsidTr="453DA6F7" w14:paraId="24CC7C50">
      <w:trPr>
        <w:trHeight w:val="300"/>
      </w:trPr>
      <w:tc>
        <w:tcPr>
          <w:tcW w:w="3005" w:type="dxa"/>
          <w:tcMar/>
        </w:tcPr>
        <w:p w:rsidR="453DA6F7" w:rsidP="453DA6F7" w:rsidRDefault="453DA6F7" w14:paraId="75495163" w14:textId="1520748A">
          <w:pPr>
            <w:pStyle w:val="Header"/>
            <w:bidi w:val="0"/>
            <w:ind w:left="-115"/>
            <w:jc w:val="left"/>
          </w:pPr>
        </w:p>
      </w:tc>
      <w:tc>
        <w:tcPr>
          <w:tcW w:w="3005" w:type="dxa"/>
          <w:tcMar/>
        </w:tcPr>
        <w:p w:rsidR="453DA6F7" w:rsidP="453DA6F7" w:rsidRDefault="453DA6F7" w14:paraId="173177B2" w14:textId="0A47AE21">
          <w:pPr>
            <w:pStyle w:val="Header"/>
            <w:bidi w:val="0"/>
            <w:jc w:val="center"/>
          </w:pPr>
        </w:p>
      </w:tc>
      <w:tc>
        <w:tcPr>
          <w:tcW w:w="3005" w:type="dxa"/>
          <w:tcMar/>
        </w:tcPr>
        <w:p w:rsidR="453DA6F7" w:rsidP="453DA6F7" w:rsidRDefault="453DA6F7" w14:paraId="2E1F4B7C" w14:textId="61AF2CEB">
          <w:pPr>
            <w:pStyle w:val="Header"/>
            <w:bidi w:val="0"/>
            <w:ind w:right="-115"/>
            <w:jc w:val="right"/>
            <w:rPr>
              <w:rFonts w:ascii="Arial Nova" w:hAnsi="Arial Nova" w:eastAsia="Arial Nova" w:cs="Arial Nova"/>
            </w:rPr>
          </w:pPr>
          <w:r w:rsidRPr="453DA6F7">
            <w:rPr>
              <w:rFonts w:ascii="Arial Nova" w:hAnsi="Arial Nova" w:eastAsia="Arial Nova" w:cs="Arial Nova"/>
            </w:rPr>
            <w:fldChar w:fldCharType="begin"/>
          </w:r>
          <w:r>
            <w:instrText xml:space="preserve">PAGE</w:instrText>
          </w:r>
          <w:r>
            <w:fldChar w:fldCharType="separate"/>
          </w:r>
          <w:r w:rsidRPr="453DA6F7">
            <w:rPr>
              <w:rFonts w:ascii="Arial Nova" w:hAnsi="Arial Nova" w:eastAsia="Arial Nova" w:cs="Arial Nova"/>
            </w:rPr>
            <w:fldChar w:fldCharType="end"/>
          </w:r>
        </w:p>
      </w:tc>
    </w:tr>
  </w:tbl>
  <w:p w:rsidR="453DA6F7" w:rsidP="453DA6F7" w:rsidRDefault="453DA6F7" w14:paraId="4AA103AE" w14:textId="6C85780B">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53DA6F7" w:rsidTr="453DA6F7" w14:paraId="21816187">
      <w:trPr>
        <w:trHeight w:val="300"/>
      </w:trPr>
      <w:tc>
        <w:tcPr>
          <w:tcW w:w="3005" w:type="dxa"/>
          <w:tcMar/>
        </w:tcPr>
        <w:p w:rsidR="453DA6F7" w:rsidP="453DA6F7" w:rsidRDefault="453DA6F7" w14:paraId="3F0DF0D4" w14:textId="3CCEB645">
          <w:pPr>
            <w:pStyle w:val="Header"/>
            <w:bidi w:val="0"/>
            <w:ind w:left="-115"/>
            <w:jc w:val="left"/>
          </w:pPr>
        </w:p>
      </w:tc>
      <w:tc>
        <w:tcPr>
          <w:tcW w:w="3005" w:type="dxa"/>
          <w:tcMar/>
        </w:tcPr>
        <w:p w:rsidR="453DA6F7" w:rsidP="453DA6F7" w:rsidRDefault="453DA6F7" w14:paraId="28C1D6CC" w14:textId="15F29B9F">
          <w:pPr>
            <w:pStyle w:val="Header"/>
            <w:bidi w:val="0"/>
            <w:jc w:val="center"/>
          </w:pPr>
        </w:p>
      </w:tc>
      <w:tc>
        <w:tcPr>
          <w:tcW w:w="3005" w:type="dxa"/>
          <w:tcMar/>
        </w:tcPr>
        <w:p w:rsidR="453DA6F7" w:rsidP="453DA6F7" w:rsidRDefault="453DA6F7" w14:paraId="78337B7C" w14:textId="11237476">
          <w:pPr>
            <w:pStyle w:val="Header"/>
            <w:bidi w:val="0"/>
            <w:ind w:right="-115"/>
            <w:jc w:val="right"/>
          </w:pPr>
        </w:p>
      </w:tc>
    </w:tr>
  </w:tbl>
  <w:p w:rsidR="453DA6F7" w:rsidP="453DA6F7" w:rsidRDefault="453DA6F7" w14:paraId="38F66FF7" w14:textId="63257512">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056101"/>
    <w:rsid w:val="002F6FC1"/>
    <w:rsid w:val="014BCB41"/>
    <w:rsid w:val="0168E859"/>
    <w:rsid w:val="01841E24"/>
    <w:rsid w:val="0296B957"/>
    <w:rsid w:val="03AE0126"/>
    <w:rsid w:val="043CED8C"/>
    <w:rsid w:val="04492164"/>
    <w:rsid w:val="05C8AA36"/>
    <w:rsid w:val="078839D6"/>
    <w:rsid w:val="07A54271"/>
    <w:rsid w:val="07C798E6"/>
    <w:rsid w:val="07C798E6"/>
    <w:rsid w:val="084F28E4"/>
    <w:rsid w:val="084F28E4"/>
    <w:rsid w:val="0AEDFED1"/>
    <w:rsid w:val="0F63A4EF"/>
    <w:rsid w:val="10CFB045"/>
    <w:rsid w:val="127AD99C"/>
    <w:rsid w:val="133DC911"/>
    <w:rsid w:val="1404B9B3"/>
    <w:rsid w:val="1416A9FD"/>
    <w:rsid w:val="164815AF"/>
    <w:rsid w:val="1698D287"/>
    <w:rsid w:val="176725E7"/>
    <w:rsid w:val="181049D8"/>
    <w:rsid w:val="182184AF"/>
    <w:rsid w:val="1ACEFDED"/>
    <w:rsid w:val="1AE6A770"/>
    <w:rsid w:val="1B9CED70"/>
    <w:rsid w:val="1C33C007"/>
    <w:rsid w:val="1CDF20AA"/>
    <w:rsid w:val="1DCF9068"/>
    <w:rsid w:val="1F82D829"/>
    <w:rsid w:val="2107312A"/>
    <w:rsid w:val="2107312A"/>
    <w:rsid w:val="226F51B0"/>
    <w:rsid w:val="232CD1F8"/>
    <w:rsid w:val="24C20471"/>
    <w:rsid w:val="28E6FC8B"/>
    <w:rsid w:val="2969F1DA"/>
    <w:rsid w:val="296E6922"/>
    <w:rsid w:val="2AAE1370"/>
    <w:rsid w:val="2AD8B40D"/>
    <w:rsid w:val="2AE627E8"/>
    <w:rsid w:val="2CA4DBEF"/>
    <w:rsid w:val="2D01D925"/>
    <w:rsid w:val="2D447DC7"/>
    <w:rsid w:val="2DB71870"/>
    <w:rsid w:val="2DD5A07B"/>
    <w:rsid w:val="2DF478BB"/>
    <w:rsid w:val="2EC7080F"/>
    <w:rsid w:val="2EF29F82"/>
    <w:rsid w:val="2F451D3A"/>
    <w:rsid w:val="306993FF"/>
    <w:rsid w:val="31C1C034"/>
    <w:rsid w:val="329A5BE5"/>
    <w:rsid w:val="333B6653"/>
    <w:rsid w:val="345CE33C"/>
    <w:rsid w:val="354F63DC"/>
    <w:rsid w:val="36D237B0"/>
    <w:rsid w:val="37518BA8"/>
    <w:rsid w:val="38F33793"/>
    <w:rsid w:val="3930545F"/>
    <w:rsid w:val="3961CB04"/>
    <w:rsid w:val="3A2F737C"/>
    <w:rsid w:val="3AFD9B65"/>
    <w:rsid w:val="3B4E32ED"/>
    <w:rsid w:val="3D42FE9C"/>
    <w:rsid w:val="3D4966BA"/>
    <w:rsid w:val="3D959A4F"/>
    <w:rsid w:val="41FDFF9D"/>
    <w:rsid w:val="42690B72"/>
    <w:rsid w:val="42DF6ACF"/>
    <w:rsid w:val="4461CC2F"/>
    <w:rsid w:val="4492A02C"/>
    <w:rsid w:val="453DA6F7"/>
    <w:rsid w:val="467EF308"/>
    <w:rsid w:val="46BE457B"/>
    <w:rsid w:val="49EB3569"/>
    <w:rsid w:val="4B788E41"/>
    <w:rsid w:val="4BA3BAC3"/>
    <w:rsid w:val="4BAE703A"/>
    <w:rsid w:val="4D145EA2"/>
    <w:rsid w:val="4D6DE297"/>
    <w:rsid w:val="4EB02F03"/>
    <w:rsid w:val="518AEE39"/>
    <w:rsid w:val="53056101"/>
    <w:rsid w:val="532B9F89"/>
    <w:rsid w:val="53B7E14E"/>
    <w:rsid w:val="54766A7F"/>
    <w:rsid w:val="56CDDD80"/>
    <w:rsid w:val="56FF95C7"/>
    <w:rsid w:val="588B5271"/>
    <w:rsid w:val="5997CCB6"/>
    <w:rsid w:val="5A2722D2"/>
    <w:rsid w:val="5B4E561E"/>
    <w:rsid w:val="5BC1CC13"/>
    <w:rsid w:val="5BC1CC13"/>
    <w:rsid w:val="5C4BB504"/>
    <w:rsid w:val="5E697141"/>
    <w:rsid w:val="5ECE4053"/>
    <w:rsid w:val="60A6780D"/>
    <w:rsid w:val="60C45DF7"/>
    <w:rsid w:val="60E847CE"/>
    <w:rsid w:val="614421A7"/>
    <w:rsid w:val="61ECB8B8"/>
    <w:rsid w:val="62310D97"/>
    <w:rsid w:val="62310D97"/>
    <w:rsid w:val="6323BA07"/>
    <w:rsid w:val="647B9699"/>
    <w:rsid w:val="65DFFF9F"/>
    <w:rsid w:val="67836D13"/>
    <w:rsid w:val="698C2488"/>
    <w:rsid w:val="6CC3C54A"/>
    <w:rsid w:val="6F9DC863"/>
    <w:rsid w:val="70DCD7A5"/>
    <w:rsid w:val="71F09D36"/>
    <w:rsid w:val="72851FBD"/>
    <w:rsid w:val="733AF454"/>
    <w:rsid w:val="74D62D3D"/>
    <w:rsid w:val="756EBE6C"/>
    <w:rsid w:val="75CDE94C"/>
    <w:rsid w:val="75EEC2AA"/>
    <w:rsid w:val="76416B7C"/>
    <w:rsid w:val="76E1BD76"/>
    <w:rsid w:val="771D02A6"/>
    <w:rsid w:val="7730174F"/>
    <w:rsid w:val="784847B2"/>
    <w:rsid w:val="7853CA56"/>
    <w:rsid w:val="78E11287"/>
    <w:rsid w:val="7A15DBED"/>
    <w:rsid w:val="7BB1AC4E"/>
    <w:rsid w:val="7C1F634A"/>
    <w:rsid w:val="7E39521C"/>
    <w:rsid w:val="7E79BEDF"/>
    <w:rsid w:val="7E87635C"/>
    <w:rsid w:val="7EA4515C"/>
    <w:rsid w:val="7FA585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56101"/>
  <w15:chartTrackingRefBased/>
  <w15:docId w15:val="{E24CBD2B-C7C3-4B22-8EB1-9154B78261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7.jpg" Id="Ra4d10b4f28db4139" /><Relationship Type="http://schemas.openxmlformats.org/officeDocument/2006/relationships/image" Target="/media/image8.jpg" Id="R19e2e4038e754a21" /><Relationship Type="http://schemas.openxmlformats.org/officeDocument/2006/relationships/image" Target="/media/image9.jpg" Id="R25396ca574ea4e0e" /><Relationship Type="http://schemas.openxmlformats.org/officeDocument/2006/relationships/image" Target="/media/image3.png" Id="Rb6ec2d3eef6543dc" /><Relationship Type="http://schemas.openxmlformats.org/officeDocument/2006/relationships/image" Target="/media/imagea.jpg" Id="R1a8d8d176b0b4a16" /><Relationship Type="http://schemas.openxmlformats.org/officeDocument/2006/relationships/image" Target="/media/imageb.jpg" Id="R437a3f03debe490b" /><Relationship Type="http://schemas.openxmlformats.org/officeDocument/2006/relationships/image" Target="/media/imagec.jpg" Id="Ra7d2f96fe5e646f0" /><Relationship Type="http://schemas.openxmlformats.org/officeDocument/2006/relationships/image" Target="/media/image5.png" Id="Rb6976ed3c814488f" /><Relationship Type="http://schemas.openxmlformats.org/officeDocument/2006/relationships/header" Target="header.xml" Id="R777c8ae5103746e5" /><Relationship Type="http://schemas.openxmlformats.org/officeDocument/2006/relationships/footer" Target="footer.xml" Id="R605c91965f4c469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7C39283A607B4BAEF472238F4B3E8A" ma:contentTypeVersion="18" ma:contentTypeDescription="Creare un nuovo documento." ma:contentTypeScope="" ma:versionID="f652f2946aff222e97cfc53dc6319539">
  <xsd:schema xmlns:xsd="http://www.w3.org/2001/XMLSchema" xmlns:xs="http://www.w3.org/2001/XMLSchema" xmlns:p="http://schemas.microsoft.com/office/2006/metadata/properties" xmlns:ns2="36e33dac-e672-449e-83de-762d78ddecd7" xmlns:ns3="3f2b7cb5-7e1e-46a4-8ad9-b027c2e67245" targetNamespace="http://schemas.microsoft.com/office/2006/metadata/properties" ma:root="true" ma:fieldsID="90b556fd429d92725f3f7e89fdd919ec" ns2:_="" ns3:_="">
    <xsd:import namespace="36e33dac-e672-449e-83de-762d78ddecd7"/>
    <xsd:import namespace="3f2b7cb5-7e1e-46a4-8ad9-b027c2e672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immagin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33dac-e672-449e-83de-762d78dde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85084912-5aa8-4c3a-b80c-8dcb6d4a0024" ma:termSetId="09814cd3-568e-fe90-9814-8d621ff8fb84" ma:anchorId="fba54fb3-c3e1-fe81-a776-ca4b69148c4d" ma:open="true" ma:isKeyword="false">
      <xsd:complexType>
        <xsd:sequence>
          <xsd:element ref="pc:Terms" minOccurs="0" maxOccurs="1"/>
        </xsd:sequence>
      </xsd:complexType>
    </xsd:element>
    <xsd:element name="immagine" ma:index="24" nillable="true" ma:displayName="immagine" ma:format="Thumbnail" ma:internalName="immagin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b7cb5-7e1e-46a4-8ad9-b027c2e6724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e9f42d7-12ac-4f71-aaea-272981415be4}" ma:internalName="TaxCatchAll" ma:showField="CatchAllData" ma:web="3f2b7cb5-7e1e-46a4-8ad9-b027c2e672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e33dac-e672-449e-83de-762d78ddecd7">
      <Terms xmlns="http://schemas.microsoft.com/office/infopath/2007/PartnerControls"/>
    </lcf76f155ced4ddcb4097134ff3c332f>
    <TaxCatchAll xmlns="3f2b7cb5-7e1e-46a4-8ad9-b027c2e67245" xsi:nil="true"/>
    <immagine xmlns="36e33dac-e672-449e-83de-762d78ddecd7" xsi:nil="true"/>
  </documentManagement>
</p:properties>
</file>

<file path=customXml/itemProps1.xml><?xml version="1.0" encoding="utf-8"?>
<ds:datastoreItem xmlns:ds="http://schemas.openxmlformats.org/officeDocument/2006/customXml" ds:itemID="{0AD11039-86C6-4303-9B86-06003A48AA50}"/>
</file>

<file path=customXml/itemProps2.xml><?xml version="1.0" encoding="utf-8"?>
<ds:datastoreItem xmlns:ds="http://schemas.openxmlformats.org/officeDocument/2006/customXml" ds:itemID="{E9787367-5E7B-40E3-BA1C-F213B1D74E94}"/>
</file>

<file path=customXml/itemProps3.xml><?xml version="1.0" encoding="utf-8"?>
<ds:datastoreItem xmlns:ds="http://schemas.openxmlformats.org/officeDocument/2006/customXml" ds:itemID="{3C6AAF21-E1B9-4577-B097-9DD1376C60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Pedrotti</dc:creator>
  <cp:keywords/>
  <dc:description/>
  <cp:lastModifiedBy>Utente guest</cp:lastModifiedBy>
  <dcterms:created xsi:type="dcterms:W3CDTF">2023-12-15T11:57:53Z</dcterms:created>
  <dcterms:modified xsi:type="dcterms:W3CDTF">2023-12-16T09:42:01Z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0x0101009C7C39283A607B4BAEF472238F4B3E8A</vt:lpwstr>
  </property>
  <property fmtid="{D5CDD505-2E9C-101B-9397-08002B2CF9AE}" pid="3" name="MediaServiceImageTags">
    <vt:lpwstr/>
  </property>
</Properties>
</file>